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Laxå kommunfullmäktige</w:t>
      </w:r>
    </w:p>
    <w:p>
      <w:pPr>
        <w:pStyle w:val="Heading1"/>
      </w:pPr>
      <w:r>
        <w:t xml:space="preserve">Snabbare bygglov och förbättrad företagsservice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Laxå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2024 rankar Laxå 240 av 290 i företagsklimat. Långa handläggningstider för bygglov hämmar tillväxt. Enklare regler och digital ansökan kan locka fler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Laxå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bygglovsansökan med 4-veckors handläggningstid.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företagslots som stödjer nystartade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avgifterna för bygglov med 20 procent för småföretag.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mäta och publicera handläggningstider.</w:t>
      </w:r>
    </w:p>
    <w:p>
      <w:pPr>
        <w:spacing w:before="360"/>
      </w:pPr>
    </w:p>
    <w:p>
      <w:r>
        <w:t xml:space="preserve">Laxå,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Laxå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2026-07-14T04:09:09.639Z</dcterms:created>
  <dcterms:modified xsi:type="dcterms:W3CDTF">2026-07-14T04:09:09.639Z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